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926112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26112">
              <w:rPr>
                <w:rFonts w:asciiTheme="minorHAnsi" w:eastAsia="Merriweather" w:hAnsiTheme="minorHAnsi" w:cstheme="minorHAnsi"/>
                <w:b/>
              </w:rPr>
              <w:t>Sensory Organs and Endocrine System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926112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926112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926112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4615DF">
              <w:rPr>
                <w:rFonts w:asciiTheme="minorHAnsi" w:hAnsiTheme="minorHAnsi" w:cstheme="minorHAnsi"/>
                <w:b/>
              </w:rPr>
              <w:t>Embryology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Development of Head and Neck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Histology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Histology of endocrine organs, Lab: Histology of endocrine organs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Anatomy</w:t>
            </w:r>
            <w:r w:rsidRPr="004615DF">
              <w:rPr>
                <w:rFonts w:asciiTheme="minorHAnsi" w:hAnsiTheme="minorHAnsi" w:cstheme="minorHAnsi"/>
                <w:b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Olfactory nerve (I), Optic nerve (II), Oculomotor nerve (III) and Trochlear nerve (IV), Trigeminal nerve (V), Abducens nerve(VI),  Facial nerve (V</w:t>
            </w:r>
            <w:r>
              <w:rPr>
                <w:rFonts w:asciiTheme="minorHAnsi" w:hAnsiTheme="minorHAnsi" w:cstheme="minorHAnsi"/>
              </w:rPr>
              <w:t xml:space="preserve">II) and Vestibulocochlear nerve </w:t>
            </w:r>
            <w:r w:rsidRPr="004615DF">
              <w:rPr>
                <w:rFonts w:asciiTheme="minorHAnsi" w:hAnsiTheme="minorHAnsi" w:cstheme="minorHAnsi"/>
              </w:rPr>
              <w:t>(VIII).Glossopharyngeal nerve (IX) and Vagus nerve(X), Accessory nerve (XI), Hypoglossal nerve (XII).</w:t>
            </w:r>
            <w:bookmarkStart w:id="1" w:name="_GoBack"/>
            <w:bookmarkEnd w:id="1"/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Cadaver LAB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Sensory  and endocrıne organs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Physiology</w:t>
            </w:r>
            <w:r w:rsidRPr="004615DF">
              <w:rPr>
                <w:rFonts w:asciiTheme="minorHAnsi" w:hAnsiTheme="minorHAnsi" w:cstheme="minorHAnsi"/>
                <w:b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Introduction to endocrine system, Thyroid and parathyroid glands and hormones.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Biochemistry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Releasing hormones (releasing factors) of hypothalamus.Inhibiting hormones of hypothalmus.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Medical Biology/Medical Genetics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Gene gene interaction  (Complementary, poligenic interactions, epistasis, pleyotropy etc.)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Biophysics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Light perception by living organism. The optical system of the eye.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Immunology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Introduction to Immunity,  Innate Immunity, Active and Passive Immunity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  <w:b/>
              </w:rPr>
            </w:pPr>
            <w:r w:rsidRPr="004615DF">
              <w:rPr>
                <w:rFonts w:asciiTheme="minorHAnsi" w:hAnsiTheme="minorHAnsi" w:cstheme="minorHAnsi"/>
                <w:b/>
              </w:rPr>
              <w:t>PBL</w:t>
            </w:r>
            <w:r w:rsidRPr="004615D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Embryology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Development  of Eye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Histology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Histology of Eye, Histology of Ear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Anatomy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Organ of Hearing and Equilibrium (Organumvestibulocochleare); Organ of vision(Organum visus);  Organ of Taste, Organ of Smell, Organ of Touch (skin)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Cadaver LAB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Sensory  and endocrıne organs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4615DF">
              <w:rPr>
                <w:rFonts w:asciiTheme="minorHAnsi" w:hAnsiTheme="minorHAnsi" w:cstheme="minorHAnsi"/>
                <w:b/>
              </w:rPr>
              <w:t>Rad.Anatomy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Physiology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Organization of the hypothalamo -hypophyseal system, Hormones of pituitary gland, Adrenal hormones and stress response: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4615DF">
              <w:rPr>
                <w:rFonts w:asciiTheme="minorHAnsi" w:hAnsiTheme="minorHAnsi" w:cstheme="minorHAnsi"/>
                <w:b/>
              </w:rPr>
              <w:t>Biochemistry</w:t>
            </w:r>
            <w:r w:rsidRPr="004615DF">
              <w:rPr>
                <w:rFonts w:asciiTheme="minorHAnsi" w:hAnsiTheme="minorHAnsi" w:cstheme="minorHAnsi"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Oxytocin and Vasopressin . Melatonin. Steroid hormones. Synthesis of steroid hormones. Thyroid hormones. Catecholamines 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  <w:b/>
              </w:rPr>
            </w:pPr>
            <w:r w:rsidRPr="004615DF">
              <w:rPr>
                <w:rFonts w:asciiTheme="minorHAnsi" w:hAnsiTheme="minorHAnsi" w:cstheme="minorHAnsi"/>
                <w:b/>
              </w:rPr>
              <w:t>Biophysics</w:t>
            </w:r>
            <w:r w:rsidRPr="004615DF">
              <w:rPr>
                <w:rFonts w:asciiTheme="minorHAnsi" w:hAnsiTheme="minorHAnsi" w:cstheme="minorHAnsi"/>
                <w:b/>
              </w:rPr>
              <w:t xml:space="preserve"> </w:t>
            </w:r>
            <w:r w:rsidRPr="004615DF">
              <w:rPr>
                <w:rFonts w:asciiTheme="minorHAnsi" w:hAnsiTheme="minorHAnsi" w:cstheme="minorHAnsi"/>
              </w:rPr>
              <w:t>Audio perception by living organisms. Treatment of hearing loss and implants;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Immunology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Organisation of immune system: cells,  tissue  and organs  of Immune system; B and T cell development and differentiation.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lastRenderedPageBreak/>
              <w:t>Embryology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Development of Ear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Histology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Histology of Skin and adnex, Lab: Histology of Ear and Eye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Anatomy</w:t>
            </w:r>
            <w:r w:rsidRPr="00E97F3A">
              <w:rPr>
                <w:rFonts w:asciiTheme="minorHAnsi" w:hAnsiTheme="minorHAnsi" w:cstheme="minorHAnsi"/>
                <w:b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Endocrine Glands:Pituitary (hypophysis) gland and pineal gland. Thyroid gland and parathyroid gland, Adrenal gland, Tymus and gonads.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Cadaver LAB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Sensory  and endocrıne organs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Physiology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Vision, hearing and vestibular system; Lab: Peripheral Vision, Blind Spot, and Determining the Near Point of Accommodation.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Biochemistry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Signal reception and transduction at the target tissue. Receptors  - Intracellular Receptors,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Medical Biology/Medical Genetics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 xml:space="preserve">Gene gene interaction  (Complementary, poligenic interactions, epistasis, pleyotropy etc.)  </w:t>
            </w:r>
          </w:p>
          <w:p w:rsidR="004615DF" w:rsidRPr="00E97F3A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Immunology</w:t>
            </w:r>
            <w:r w:rsidR="00E97F3A" w:rsidRPr="00E97F3A">
              <w:rPr>
                <w:rFonts w:asciiTheme="minorHAnsi" w:hAnsiTheme="minorHAnsi" w:cstheme="minorHAnsi"/>
              </w:rPr>
              <w:t xml:space="preserve"> </w:t>
            </w:r>
            <w:r w:rsidR="00E97F3A" w:rsidRPr="00E97F3A">
              <w:rPr>
                <w:rFonts w:asciiTheme="minorHAnsi" w:hAnsiTheme="minorHAnsi" w:cstheme="minorHAnsi"/>
              </w:rPr>
              <w:t>Adaptive Immunity:  Antigen;  TCR, BCR and  MHC.; Antigen Processing and  Presentation;  Neuro-immune-endocrine  regulation;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Clinical Visits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Collection of clinical cases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Embryology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 xml:space="preserve">Development of neuroendocrine and endocrine glands  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Histology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Lab: Histology of Skin and adnex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E97F3A">
              <w:rPr>
                <w:rFonts w:asciiTheme="minorHAnsi" w:hAnsiTheme="minorHAnsi" w:cstheme="minorHAnsi"/>
                <w:b/>
              </w:rPr>
              <w:t>Rad.Anatomy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Physiology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Sense of taste &amp; olfaction;</w:t>
            </w:r>
          </w:p>
          <w:p w:rsidR="00E97F3A" w:rsidRPr="00E97F3A" w:rsidRDefault="00E97F3A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Biochemistry</w:t>
            </w:r>
            <w:r w:rsidRPr="00E97F3A">
              <w:rPr>
                <w:rFonts w:asciiTheme="minorHAnsi" w:hAnsiTheme="minorHAnsi" w:cstheme="minorHAnsi"/>
                <w:b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Plasma membrane receptors.Glucagon.  Insulin and the insulin receptor.</w:t>
            </w:r>
          </w:p>
          <w:p w:rsidR="00E97F3A" w:rsidRPr="00E97F3A" w:rsidRDefault="00E97F3A" w:rsidP="00E97F3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Immunology</w:t>
            </w:r>
            <w:r w:rsidRPr="00E97F3A">
              <w:rPr>
                <w:rFonts w:asciiTheme="minorHAnsi" w:hAnsiTheme="minorHAnsi" w:cstheme="minorHAnsi"/>
                <w:b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.Antibody Structure;  Antibody classes and function;</w:t>
            </w:r>
          </w:p>
          <w:p w:rsidR="00E97F3A" w:rsidRPr="00E97F3A" w:rsidRDefault="00E97F3A" w:rsidP="00E97F3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97F3A">
              <w:rPr>
                <w:rFonts w:asciiTheme="minorHAnsi" w:hAnsiTheme="minorHAnsi" w:cstheme="minorHAnsi"/>
                <w:b/>
              </w:rPr>
              <w:t>Clinical Visits</w:t>
            </w:r>
            <w:r w:rsidRPr="00E97F3A">
              <w:rPr>
                <w:rFonts w:asciiTheme="minorHAnsi" w:hAnsiTheme="minorHAnsi" w:cstheme="minorHAnsi"/>
              </w:rPr>
              <w:t xml:space="preserve"> </w:t>
            </w:r>
            <w:r w:rsidRPr="00E97F3A">
              <w:rPr>
                <w:rFonts w:asciiTheme="minorHAnsi" w:hAnsiTheme="minorHAnsi" w:cstheme="minorHAnsi"/>
              </w:rPr>
              <w:t>Collection of clinical cases</w:t>
            </w:r>
          </w:p>
          <w:p w:rsidR="00E97F3A" w:rsidRPr="00E97F3A" w:rsidRDefault="00E97F3A" w:rsidP="00E97F3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E97F3A">
              <w:rPr>
                <w:rFonts w:asciiTheme="minorHAnsi" w:hAnsiTheme="minorHAnsi" w:cstheme="minorHAnsi"/>
                <w:b/>
              </w:rPr>
              <w:t>PBL</w:t>
            </w:r>
          </w:p>
          <w:p w:rsidR="00E97F3A" w:rsidRPr="00E97F3A" w:rsidRDefault="00E97F3A" w:rsidP="00E97F3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  <w:b/>
              </w:rPr>
            </w:pPr>
            <w:r w:rsidRPr="00E97F3A">
              <w:rPr>
                <w:rFonts w:asciiTheme="minorHAnsi" w:hAnsiTheme="minorHAnsi" w:cstheme="minorHAnsi"/>
                <w:b/>
              </w:rPr>
              <w:t>PPT</w:t>
            </w:r>
          </w:p>
          <w:p w:rsidR="00E97F3A" w:rsidRPr="00E97F3A" w:rsidRDefault="00E97F3A" w:rsidP="00E97F3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  <w:b/>
              </w:rPr>
            </w:pPr>
            <w:r w:rsidRPr="00E97F3A">
              <w:rPr>
                <w:rFonts w:asciiTheme="minorHAnsi" w:hAnsiTheme="minorHAnsi" w:cstheme="minorHAnsi"/>
                <w:b/>
              </w:rPr>
              <w:t>Review Hs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Anatomy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Human Anatomy, author: Elaine N. Marieb; Patricia Brady Wilhelm;Jon B. Mallatt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8th ed 2017;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Sobotta Atlas of Human Anatomy.Tables of Muscles, Joints,and NervesEd: F.Paulsen;J.Waschke. Urban &amp; Fischer. 16st. edition; 2018.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 xml:space="preserve"> Rad. Anatomy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Learning Radiology: Recognizing the Basics (With Student Consult Online Access),  William Herring. Saunders; 2nd ed. 2011;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Biochemistry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Lehninger Principles of Biochemistry- David L. Nelson and Michael M. Cox (sevenths edition 2017)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Lippincott illustrated reviews:Biochemistry- Ferrier, Denise R. 7th ed.2017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 xml:space="preserve"> Embryology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The Developing Human Clinically Oriented Embryology - Keith Moore L; Persaud T.V.N;Mark G Torchia..  Elsevier Saunders.  11th ed. 2020;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 xml:space="preserve">Biophysics 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lastRenderedPageBreak/>
              <w:t xml:space="preserve"> Tamar Sanikidze. Biological and Medical Physics V-1/ V-2. 2016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Molecular Biology/Genetics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Molecular Biology of the Cell - Bruce Alberts, Alexander Johnson, Julian Levis, Martin Raff Keith. Roberts Peter Walter -, Garland Science Taylor &amp; Francis Group,  7th ed. 2022;;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 xml:space="preserve">Evidence Based Medicine-EBM 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The Philosophy of Evidence-Based Medicine- Jeremy, Howick. 2011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Histology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Junqueira's Basic Histology : Text and Atlas-  Anthony L. Mescher 16th Ed. 2021;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Physiology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guyton and hall textbook of medical physiology-. John E.Hall,14th.ed. 2021;</w:t>
            </w:r>
          </w:p>
          <w:p w:rsidR="00926112" w:rsidRPr="00926112" w:rsidRDefault="00926112" w:rsidP="00926112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Immunology</w:t>
            </w:r>
          </w:p>
          <w:p w:rsidR="004615DF" w:rsidRPr="004615DF" w:rsidRDefault="00926112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926112">
              <w:rPr>
                <w:rFonts w:asciiTheme="minorHAnsi" w:hAnsiTheme="minorHAnsi" w:cstheme="minorHAnsi"/>
              </w:rPr>
              <w:t>Basic Immunology. Abbas, K. Abul. 6th ed.2020.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</w:rPr>
              <w:t>Lehninger principles of biochemistry, David L.Nelson;Michael M.Cox, Freeman, 2013, MacMillan. Higher education, International edition, VI Edition.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</w:rPr>
              <w:t xml:space="preserve">Mark's basic medical biochemistry: a clinical approach (2012) </w:t>
            </w:r>
          </w:p>
          <w:p w:rsidR="004615DF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4615DF">
              <w:rPr>
                <w:rFonts w:asciiTheme="minorHAnsi" w:hAnsiTheme="minorHAnsi" w:cstheme="minorHAnsi"/>
              </w:rPr>
              <w:t>Physics in Biology and Medicine,  Pual Davidovits. Academic Press. Elsevier, 2013</w:t>
            </w:r>
          </w:p>
          <w:p w:rsidR="00926112" w:rsidRPr="004615DF" w:rsidRDefault="004615DF" w:rsidP="004615D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9C728F">
              <w:rPr>
                <w:rFonts w:asciiTheme="minorHAnsi" w:hAnsiTheme="minorHAnsi" w:cstheme="minorHAnsi"/>
              </w:rPr>
              <w:t>Problem-Based Physiology 1st Edition   Robert G. Carroll (2009)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D1" w:rsidRDefault="00A512D1">
      <w:pPr>
        <w:spacing w:after="0" w:line="240" w:lineRule="auto"/>
      </w:pPr>
      <w:r>
        <w:separator/>
      </w:r>
    </w:p>
  </w:endnote>
  <w:endnote w:type="continuationSeparator" w:id="0">
    <w:p w:rsidR="00A512D1" w:rsidRDefault="00A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7F3A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D1" w:rsidRDefault="00A512D1">
      <w:pPr>
        <w:spacing w:after="0" w:line="240" w:lineRule="auto"/>
      </w:pPr>
      <w:r>
        <w:separator/>
      </w:r>
    </w:p>
  </w:footnote>
  <w:footnote w:type="continuationSeparator" w:id="0">
    <w:p w:rsidR="00A512D1" w:rsidRDefault="00A5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F2508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4615DF"/>
    <w:rsid w:val="007400F7"/>
    <w:rsid w:val="008302BD"/>
    <w:rsid w:val="00846091"/>
    <w:rsid w:val="008B13BE"/>
    <w:rsid w:val="00926112"/>
    <w:rsid w:val="00930EBC"/>
    <w:rsid w:val="009A7079"/>
    <w:rsid w:val="009E35AD"/>
    <w:rsid w:val="00A15B39"/>
    <w:rsid w:val="00A512D1"/>
    <w:rsid w:val="00B503CE"/>
    <w:rsid w:val="00C104DA"/>
    <w:rsid w:val="00C87BB7"/>
    <w:rsid w:val="00D22650"/>
    <w:rsid w:val="00E97F3A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FB33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2024-09-19T10:27:00Z</dcterms:modified>
</cp:coreProperties>
</file>